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31" w:rsidRDefault="00541C31" w:rsidP="00D71A1F">
      <w:pPr>
        <w:pStyle w:val="a3"/>
        <w:spacing w:line="475" w:lineRule="exact"/>
        <w:jc w:val="center"/>
        <w:rPr>
          <w:rFonts w:ascii="方正兰亭黑简体" w:eastAsia="方正兰亭黑简体"/>
          <w:lang w:eastAsia="zh-CN"/>
        </w:rPr>
      </w:pPr>
    </w:p>
    <w:p w:rsidR="00541C31" w:rsidRDefault="00541C31" w:rsidP="00D71A1F">
      <w:pPr>
        <w:pStyle w:val="a3"/>
        <w:spacing w:line="475" w:lineRule="exact"/>
        <w:jc w:val="center"/>
        <w:rPr>
          <w:rFonts w:ascii="方正兰亭黑简体" w:eastAsia="方正兰亭黑简体"/>
          <w:lang w:eastAsia="zh-CN"/>
        </w:rPr>
      </w:pPr>
      <w:bookmarkStart w:id="0" w:name="_GoBack"/>
      <w:bookmarkEnd w:id="0"/>
    </w:p>
    <w:p w:rsidR="00C542D2" w:rsidRPr="00D71A1F" w:rsidRDefault="0074162E" w:rsidP="00D71A1F">
      <w:pPr>
        <w:pStyle w:val="a3"/>
        <w:spacing w:line="475" w:lineRule="exact"/>
        <w:jc w:val="center"/>
        <w:rPr>
          <w:rFonts w:ascii="方正兰亭黑简体" w:eastAsia="方正兰亭黑简体"/>
          <w:b w:val="0"/>
          <w:bCs w:val="0"/>
          <w:lang w:eastAsia="zh-CN"/>
        </w:rPr>
      </w:pPr>
      <w:r w:rsidRPr="0074162E">
        <w:rPr>
          <w:rFonts w:ascii="方正兰亭黑简体" w:eastAsia="方正兰亭黑简体" w:hint="eastAsia"/>
          <w:lang w:eastAsia="zh-CN"/>
        </w:rPr>
        <w:t>Lp-PLA2</w:t>
      </w:r>
      <w:r w:rsidR="00541C31" w:rsidRPr="00D71A1F">
        <w:rPr>
          <w:rFonts w:ascii="方正兰亭黑简体" w:eastAsia="方正兰亭黑简体" w:hint="eastAsia"/>
          <w:lang w:eastAsia="zh-CN"/>
        </w:rPr>
        <w:t>连续监测法与酶联免疫法、免疫层析法比较</w:t>
      </w:r>
    </w:p>
    <w:p w:rsidR="00C542D2" w:rsidRPr="00D71A1F" w:rsidRDefault="00C542D2" w:rsidP="00D71A1F">
      <w:pPr>
        <w:spacing w:before="4"/>
        <w:jc w:val="center"/>
        <w:rPr>
          <w:rFonts w:ascii="方正兰亭黑简体" w:eastAsia="方正兰亭黑简体" w:hAnsi="Microsoft JhengHei" w:cs="Microsoft JhengHei"/>
          <w:b/>
          <w:bCs/>
          <w:sz w:val="5"/>
          <w:szCs w:val="5"/>
          <w:lang w:eastAsia="zh-CN"/>
        </w:rPr>
      </w:pPr>
    </w:p>
    <w:tbl>
      <w:tblPr>
        <w:tblStyle w:val="TableNormal"/>
        <w:tblW w:w="0" w:type="auto"/>
        <w:tblInd w:w="289" w:type="dxa"/>
        <w:tblLayout w:type="fixed"/>
        <w:tblLook w:val="01E0"/>
      </w:tblPr>
      <w:tblGrid>
        <w:gridCol w:w="1889"/>
        <w:gridCol w:w="5765"/>
        <w:gridCol w:w="3544"/>
        <w:gridCol w:w="3544"/>
      </w:tblGrid>
      <w:tr w:rsidR="00C542D2" w:rsidRPr="00D71A1F" w:rsidTr="00D71A1F">
        <w:trPr>
          <w:trHeight w:hRule="exact" w:val="65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D2" w:rsidRPr="00D71A1F" w:rsidRDefault="00541C31" w:rsidP="00D71A1F">
            <w:pPr>
              <w:pStyle w:val="TableParagraph"/>
              <w:spacing w:line="484" w:lineRule="exact"/>
              <w:jc w:val="center"/>
              <w:rPr>
                <w:rFonts w:ascii="方正兰亭黑简体" w:eastAsia="方正兰亭黑简体" w:hAnsi="Microsoft JhengHei" w:cs="Microsoft JhengHei"/>
                <w:sz w:val="21"/>
                <w:szCs w:val="21"/>
              </w:rPr>
            </w:pP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D2" w:rsidRPr="00D71A1F" w:rsidRDefault="00541C31" w:rsidP="00D71A1F">
            <w:pPr>
              <w:pStyle w:val="TableParagraph"/>
              <w:spacing w:line="484" w:lineRule="exact"/>
              <w:ind w:left="1245"/>
              <w:jc w:val="center"/>
              <w:rPr>
                <w:rFonts w:ascii="方正兰亭黑简体" w:eastAsia="方正兰亭黑简体" w:hAnsi="Microsoft JhengHei" w:cs="Microsoft JhengHei"/>
                <w:sz w:val="21"/>
                <w:szCs w:val="21"/>
              </w:rPr>
            </w:pP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color w:val="333333"/>
                <w:sz w:val="21"/>
                <w:szCs w:val="21"/>
              </w:rPr>
              <w:t>检测原理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D2" w:rsidRPr="00D71A1F" w:rsidRDefault="00541C31" w:rsidP="00D71A1F">
            <w:pPr>
              <w:pStyle w:val="TableParagraph"/>
              <w:spacing w:line="484" w:lineRule="exact"/>
              <w:jc w:val="center"/>
              <w:rPr>
                <w:rFonts w:ascii="方正兰亭黑简体" w:eastAsia="方正兰亭黑简体" w:hAnsi="Microsoft JhengHei" w:cs="Microsoft JhengHei"/>
                <w:sz w:val="21"/>
                <w:szCs w:val="21"/>
              </w:rPr>
            </w:pP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color w:val="333333"/>
                <w:sz w:val="21"/>
                <w:szCs w:val="21"/>
              </w:rPr>
              <w:t>优势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D2" w:rsidRPr="00D71A1F" w:rsidRDefault="00541C31" w:rsidP="00D71A1F">
            <w:pPr>
              <w:pStyle w:val="TableParagraph"/>
              <w:spacing w:line="484" w:lineRule="exact"/>
              <w:ind w:left="2"/>
              <w:jc w:val="center"/>
              <w:rPr>
                <w:rFonts w:ascii="方正兰亭黑简体" w:eastAsia="方正兰亭黑简体" w:hAnsi="Microsoft JhengHei" w:cs="Microsoft JhengHei"/>
                <w:sz w:val="21"/>
                <w:szCs w:val="21"/>
              </w:rPr>
            </w:pP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sz w:val="21"/>
                <w:szCs w:val="21"/>
              </w:rPr>
              <w:t>缺点</w:t>
            </w:r>
          </w:p>
        </w:tc>
      </w:tr>
      <w:tr w:rsidR="00C542D2" w:rsidRPr="00D71A1F" w:rsidTr="009D4A2C">
        <w:trPr>
          <w:trHeight w:hRule="exact" w:val="192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Pr="00D71A1F" w:rsidRDefault="009743DE" w:rsidP="009743DE">
            <w:pPr>
              <w:pStyle w:val="TableParagraph"/>
              <w:spacing w:line="320" w:lineRule="exact"/>
              <w:ind w:right="3"/>
              <w:jc w:val="center"/>
              <w:rPr>
                <w:rFonts w:ascii="方正兰亭黑简体" w:eastAsia="方正兰亭黑简体" w:hAnsi="Times New Roman" w:cs="Times New Roman"/>
                <w:sz w:val="21"/>
                <w:szCs w:val="21"/>
              </w:rPr>
            </w:pPr>
            <w:r>
              <w:rPr>
                <w:rFonts w:ascii="方正兰亭黑简体" w:eastAsia="方正兰亭黑简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酶联免疫法</w:t>
            </w:r>
            <w:r w:rsidR="00541C31" w:rsidRPr="00D71A1F">
              <w:rPr>
                <w:rFonts w:ascii="方正兰亭黑简体" w:eastAsia="方正兰亭黑简体" w:hint="eastAsia"/>
                <w:b/>
                <w:w w:val="150"/>
                <w:sz w:val="21"/>
                <w:szCs w:val="21"/>
              </w:rPr>
              <w:t>(</w:t>
            </w:r>
            <w:r w:rsidR="00541C31" w:rsidRPr="00D71A1F">
              <w:rPr>
                <w:rFonts w:ascii="方正兰亭黑简体" w:eastAsia="方正兰亭黑简体" w:hint="eastAsia"/>
                <w:b/>
                <w:w w:val="105"/>
                <w:sz w:val="21"/>
                <w:szCs w:val="21"/>
              </w:rPr>
              <w:t>ELISA)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Pr="00D71A1F" w:rsidRDefault="00541C31" w:rsidP="00D71A1F">
            <w:pPr>
              <w:pStyle w:val="TableParagraph"/>
              <w:spacing w:line="275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被检测的抗原包被在两个抗体之间，其中一个抗体将抗原固定于固相载体上，即捕捉抗体。另一个则是检测抗体，此抗体可用酶标记后直接测定抗原的量；或不标记，再透过酶标记的二级抗体来测定抗原的量。这两种抗体必须小心选取，才可避免交互反应或竞争相同的抗原结合部位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Default="0074162E" w:rsidP="00D71A1F">
            <w:pPr>
              <w:pStyle w:val="TableParagraph"/>
              <w:spacing w:line="313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1国内最早使用的Lp-PLA2检测方法</w:t>
            </w:r>
            <w:r w:rsidR="00676058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,测定Lp-PLA2酶质量。</w:t>
            </w:r>
          </w:p>
          <w:p w:rsidR="009D4A2C" w:rsidRPr="00D71A1F" w:rsidRDefault="009D4A2C" w:rsidP="00D71A1F">
            <w:pPr>
              <w:pStyle w:val="TableParagraph"/>
              <w:spacing w:line="313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灵敏度较免疫层析法高。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Pr="00D71A1F" w:rsidRDefault="008054F2" w:rsidP="00D71A1F">
            <w:pPr>
              <w:pStyle w:val="TableParagraph"/>
              <w:spacing w:line="312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1</w:t>
            </w:r>
            <w:r w:rsidR="00541C31"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.</w:t>
            </w:r>
            <w:r w:rsidR="009D4A2C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需要专人操作</w:t>
            </w:r>
            <w:r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，且繁琐</w:t>
            </w:r>
          </w:p>
          <w:p w:rsidR="00C542D2" w:rsidRPr="00D71A1F" w:rsidRDefault="008054F2" w:rsidP="00D71A1F">
            <w:pPr>
              <w:pStyle w:val="TableParagraph"/>
              <w:spacing w:line="312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2</w:t>
            </w:r>
            <w:r w:rsidR="00541C31"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.反应时间</w:t>
            </w:r>
            <w:r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2-3小时</w:t>
            </w:r>
            <w:r w:rsidR="00541C31"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，耗时</w:t>
            </w:r>
            <w:r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长</w:t>
            </w:r>
          </w:p>
          <w:p w:rsidR="00C542D2" w:rsidRPr="00D71A1F" w:rsidRDefault="008054F2" w:rsidP="000A4398">
            <w:pPr>
              <w:pStyle w:val="TableParagraph"/>
              <w:spacing w:before="29" w:line="312" w:lineRule="exact"/>
              <w:ind w:left="103" w:right="131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3</w:t>
            </w:r>
            <w:r w:rsidR="00541C31"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.试剂</w:t>
            </w:r>
            <w:r w:rsidR="000A4398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开瓶</w:t>
            </w:r>
            <w:r w:rsidR="00541C31"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稳定性差</w:t>
            </w:r>
          </w:p>
        </w:tc>
      </w:tr>
      <w:tr w:rsidR="00C542D2" w:rsidRPr="00D71A1F" w:rsidTr="00CA20F4">
        <w:trPr>
          <w:trHeight w:hRule="exact" w:val="2267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DE" w:rsidRDefault="00541C31" w:rsidP="009743DE">
            <w:pPr>
              <w:pStyle w:val="TableParagraph"/>
              <w:spacing w:line="320" w:lineRule="atLeast"/>
              <w:jc w:val="center"/>
              <w:rPr>
                <w:rFonts w:ascii="方正兰亭黑简体" w:eastAsia="方正兰亭黑简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免疫层析法</w:t>
            </w:r>
          </w:p>
          <w:p w:rsidR="00C542D2" w:rsidRPr="00D71A1F" w:rsidRDefault="00541C31" w:rsidP="009743DE">
            <w:pPr>
              <w:pStyle w:val="TableParagraph"/>
              <w:spacing w:line="320" w:lineRule="atLeast"/>
              <w:jc w:val="center"/>
              <w:rPr>
                <w:rFonts w:ascii="方正兰亭黑简体" w:eastAsia="方正兰亭黑简体" w:hAnsi="Microsoft JhengHei" w:cs="Microsoft JhengHei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（胶体金</w:t>
            </w:r>
            <w:r w:rsidRPr="00D71A1F">
              <w:rPr>
                <w:rFonts w:ascii="方正兰亭黑简体" w:eastAsia="方正兰亭黑简体" w:hAnsi="Times New Roman" w:cs="Times New Roman" w:hint="eastAsia"/>
                <w:b/>
                <w:bCs/>
                <w:sz w:val="21"/>
                <w:szCs w:val="21"/>
                <w:lang w:eastAsia="zh-CN"/>
              </w:rPr>
              <w:t>/</w:t>
            </w: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荧光</w:t>
            </w: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w w:val="110"/>
                <w:sz w:val="21"/>
                <w:szCs w:val="21"/>
                <w:lang w:eastAsia="zh-CN"/>
              </w:rPr>
              <w:t>免疫层析）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Pr="00D71A1F" w:rsidRDefault="0011547D" w:rsidP="008B79C2">
            <w:pPr>
              <w:pStyle w:val="TableParagraph"/>
              <w:spacing w:line="273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hyperlink r:id="rId6">
              <w:r w:rsidR="00541C31" w:rsidRPr="00D71A1F">
                <w:rPr>
                  <w:rFonts w:ascii="方正兰亭黑简体" w:eastAsia="方正兰亭黑简体" w:hAnsi="宋体" w:cs="宋体" w:hint="eastAsia"/>
                  <w:sz w:val="21"/>
                  <w:szCs w:val="21"/>
                  <w:lang w:eastAsia="zh-CN"/>
                </w:rPr>
                <w:t>将特异的抗体先固定于硝酸纤</w:t>
              </w:r>
            </w:hyperlink>
            <w:hyperlink r:id="rId7">
              <w:r w:rsidR="00541C31" w:rsidRPr="00D71A1F">
                <w:rPr>
                  <w:rFonts w:ascii="方正兰亭黑简体" w:eastAsia="方正兰亭黑简体" w:hAnsi="宋体" w:cs="宋体" w:hint="eastAsia"/>
                  <w:sz w:val="21"/>
                  <w:szCs w:val="21"/>
                  <w:lang w:eastAsia="zh-CN"/>
                </w:rPr>
                <w:t>维素膜</w:t>
              </w:r>
            </w:hyperlink>
            <w:r w:rsidR="00541C31"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的某一区带，当该干燥的</w:t>
            </w:r>
            <w:hyperlink r:id="rId8">
              <w:r w:rsidR="00541C31" w:rsidRPr="00D71A1F">
                <w:rPr>
                  <w:rFonts w:ascii="方正兰亭黑简体" w:eastAsia="方正兰亭黑简体" w:hAnsi="宋体" w:cs="宋体" w:hint="eastAsia"/>
                  <w:sz w:val="21"/>
                  <w:szCs w:val="21"/>
                  <w:lang w:eastAsia="zh-CN"/>
                </w:rPr>
                <w:t>硝酸纤维素</w:t>
              </w:r>
            </w:hyperlink>
            <w:r w:rsidR="00541C31"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一端浸入样品后，由于毛细作用，样品将沿着该膜向前移动，当移动至固定有抗体的区域时，样品中相应的抗原即与该抗体发生特异性结合，若</w:t>
            </w:r>
            <w:hyperlink r:id="rId9">
              <w:r w:rsidR="00541C31" w:rsidRPr="00D71A1F">
                <w:rPr>
                  <w:rFonts w:ascii="方正兰亭黑简体" w:eastAsia="方正兰亭黑简体" w:hAnsi="宋体" w:cs="宋体" w:hint="eastAsia"/>
                  <w:sz w:val="21"/>
                  <w:szCs w:val="21"/>
                  <w:lang w:eastAsia="zh-CN"/>
                </w:rPr>
                <w:t>用免疫胶体金</w:t>
              </w:r>
            </w:hyperlink>
            <w:r w:rsidR="00541C31"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或免疫酶染色可使该区域显示一定的颜色，从而实现特异性的</w:t>
            </w:r>
            <w:hyperlink r:id="rId10">
              <w:r w:rsidR="00541C31" w:rsidRPr="00D71A1F">
                <w:rPr>
                  <w:rFonts w:ascii="方正兰亭黑简体" w:eastAsia="方正兰亭黑简体" w:hAnsi="宋体" w:cs="宋体" w:hint="eastAsia"/>
                  <w:sz w:val="21"/>
                  <w:szCs w:val="21"/>
                  <w:lang w:eastAsia="zh-CN"/>
                </w:rPr>
                <w:t>免疫诊断</w:t>
              </w:r>
            </w:hyperlink>
            <w:r w:rsidR="00541C31"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Pr="00D71A1F" w:rsidRDefault="00541C31" w:rsidP="008B79C2">
            <w:pPr>
              <w:pStyle w:val="TableParagraph"/>
              <w:spacing w:line="273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1.</w:t>
            </w:r>
            <w:r w:rsidRPr="00D71A1F">
              <w:rPr>
                <w:rFonts w:ascii="方正兰亭黑简体" w:eastAsia="方正兰亭黑简体" w:hAnsi="宋体" w:cs="宋体" w:hint="eastAsia"/>
                <w:spacing w:val="7"/>
                <w:sz w:val="21"/>
                <w:szCs w:val="21"/>
                <w:lang w:eastAsia="zh-CN"/>
              </w:rPr>
              <w:t>快速：全部检测过程</w:t>
            </w: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仅需 3-15分钟。</w:t>
            </w:r>
          </w:p>
          <w:p w:rsidR="00C542D2" w:rsidRPr="00D71A1F" w:rsidRDefault="00541C31" w:rsidP="008B79C2">
            <w:pPr>
              <w:pStyle w:val="TableParagraph"/>
              <w:spacing w:before="1" w:line="237" w:lineRule="auto"/>
              <w:ind w:left="103" w:right="-17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2.</w:t>
            </w:r>
            <w:r w:rsidRPr="00D71A1F">
              <w:rPr>
                <w:rFonts w:ascii="方正兰亭黑简体" w:eastAsia="方正兰亭黑简体" w:hAnsi="宋体" w:cs="宋体" w:hint="eastAsia"/>
                <w:spacing w:val="7"/>
                <w:sz w:val="21"/>
                <w:szCs w:val="21"/>
                <w:lang w:eastAsia="zh-CN"/>
              </w:rPr>
              <w:t>简便：</w:t>
            </w: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操作简单，</w:t>
            </w:r>
            <w:r w:rsidR="008B79C2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方便快捷</w:t>
            </w: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Pr="00D71A1F" w:rsidRDefault="00541C31" w:rsidP="00D71A1F">
            <w:pPr>
              <w:pStyle w:val="TableParagraph"/>
              <w:spacing w:line="273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1.</w:t>
            </w:r>
            <w:r w:rsidR="00CF6FF7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免疫层析类产品不精密度控制目标&lt;20%内，</w:t>
            </w:r>
            <w:r w:rsidR="001722DC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远</w:t>
            </w:r>
            <w:r w:rsidR="00CF6FF7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高于生化、酶免检测</w:t>
            </w:r>
            <w:r w:rsidR="0060466A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。</w:t>
            </w:r>
          </w:p>
          <w:p w:rsidR="00CF6FF7" w:rsidRPr="00D71A1F" w:rsidRDefault="00541C31" w:rsidP="00CF6FF7">
            <w:pPr>
              <w:pStyle w:val="TableParagraph"/>
              <w:spacing w:line="312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2.</w:t>
            </w:r>
            <w:r w:rsidR="001722DC">
              <w:rPr>
                <w:rFonts w:ascii="方正兰亭黑简体" w:eastAsia="方正兰亭黑简体" w:hAnsi="宋体" w:cs="宋体" w:hint="eastAsia"/>
                <w:spacing w:val="60"/>
                <w:sz w:val="21"/>
                <w:szCs w:val="21"/>
                <w:lang w:eastAsia="zh-CN"/>
              </w:rPr>
              <w:t>难以准确定量。</w:t>
            </w:r>
          </w:p>
          <w:p w:rsidR="00C542D2" w:rsidRPr="00D71A1F" w:rsidRDefault="00C542D2" w:rsidP="00D71A1F">
            <w:pPr>
              <w:pStyle w:val="TableParagraph"/>
              <w:spacing w:line="313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</w:p>
        </w:tc>
      </w:tr>
      <w:tr w:rsidR="00C542D2" w:rsidRPr="00D71A1F" w:rsidTr="00D71A1F">
        <w:trPr>
          <w:trHeight w:hRule="exact" w:val="255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Pr="00D71A1F" w:rsidRDefault="00C542D2" w:rsidP="009743DE">
            <w:pPr>
              <w:pStyle w:val="TableParagraph"/>
              <w:spacing w:before="14"/>
              <w:jc w:val="center"/>
              <w:rPr>
                <w:rFonts w:ascii="方正兰亭黑简体" w:eastAsia="方正兰亭黑简体" w:hAnsi="Microsoft JhengHei" w:cs="Microsoft JhengHei"/>
                <w:b/>
                <w:bCs/>
                <w:sz w:val="21"/>
                <w:szCs w:val="21"/>
                <w:lang w:eastAsia="zh-CN"/>
              </w:rPr>
            </w:pPr>
          </w:p>
          <w:p w:rsidR="00C542D2" w:rsidRPr="00D71A1F" w:rsidRDefault="00541C31" w:rsidP="009743DE">
            <w:pPr>
              <w:pStyle w:val="TableParagraph"/>
              <w:spacing w:line="320" w:lineRule="exact"/>
              <w:ind w:left="323"/>
              <w:jc w:val="center"/>
              <w:rPr>
                <w:rFonts w:ascii="方正兰亭黑简体" w:eastAsia="方正兰亭黑简体" w:hAnsi="Microsoft JhengHei" w:cs="Microsoft JhengHei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连续监测法</w:t>
            </w:r>
          </w:p>
          <w:p w:rsidR="00C542D2" w:rsidRPr="00D71A1F" w:rsidRDefault="00541C31" w:rsidP="009743DE">
            <w:pPr>
              <w:pStyle w:val="TableParagraph"/>
              <w:spacing w:before="136" w:line="320" w:lineRule="exact"/>
              <w:ind w:left="463"/>
              <w:jc w:val="center"/>
              <w:rPr>
                <w:rFonts w:ascii="方正兰亭黑简体" w:eastAsia="方正兰亭黑简体" w:hAnsi="Microsoft JhengHei" w:cs="Microsoft JhengHei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Microsoft JhengHei" w:cs="Microsoft JhengHei" w:hint="eastAsia"/>
                <w:b/>
                <w:bCs/>
                <w:sz w:val="21"/>
                <w:szCs w:val="21"/>
                <w:lang w:eastAsia="zh-CN"/>
              </w:rPr>
              <w:t>（速率法）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Pr="00D71A1F" w:rsidRDefault="00541C31" w:rsidP="001722DC">
            <w:pPr>
              <w:pStyle w:val="TableParagraph"/>
              <w:spacing w:line="276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本试剂利用Lp-PLA2水解底物1-癸酞基-2-(4-硝基苯戊二酰基)磷脂酰胆碱(DNGP)的Sn-2 位产生4-硝基苯戊二酞基,4- 硝基苯戊二酰基在水溶液中立即释放出4-硝基苯酚,可引起 4</w:t>
            </w:r>
            <w:r w:rsidR="001722DC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0</w:t>
            </w: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5nm处吸光度的变化，通过测定一定时间内405nm处吸光度的变化速率，即可计算出样本中Lp-PLA2的活性。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1F" w:rsidRDefault="00541C31" w:rsidP="001722DC">
            <w:pPr>
              <w:pStyle w:val="TableParagraph"/>
              <w:spacing w:line="276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1.</w:t>
            </w:r>
            <w:r w:rsidR="001722DC" w:rsidRPr="001722DC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适用于全自动生化分析仪，</w:t>
            </w:r>
            <w:r w:rsidR="001722DC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高通量检测；</w:t>
            </w:r>
          </w:p>
          <w:p w:rsidR="00C542D2" w:rsidRPr="00D71A1F" w:rsidRDefault="00541C31" w:rsidP="00D71A1F">
            <w:pPr>
              <w:pStyle w:val="TableParagraph"/>
              <w:spacing w:before="29" w:line="312" w:lineRule="exact"/>
              <w:ind w:left="103" w:right="111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2.</w:t>
            </w:r>
            <w:r w:rsidR="001722DC" w:rsidRPr="001722DC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定量准确；</w:t>
            </w:r>
          </w:p>
          <w:p w:rsidR="001722DC" w:rsidRPr="00D71A1F" w:rsidRDefault="00541C31" w:rsidP="001722DC">
            <w:pPr>
              <w:pStyle w:val="TableParagraph"/>
              <w:spacing w:line="282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  <w:r w:rsidRPr="00D71A1F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3.</w:t>
            </w:r>
            <w:r w:rsidR="001722DC" w:rsidRPr="001722DC">
              <w:rPr>
                <w:rFonts w:ascii="方正兰亭黑简体" w:eastAsia="方正兰亭黑简体" w:hAnsi="宋体" w:cs="宋体" w:hint="eastAsia"/>
                <w:sz w:val="21"/>
                <w:szCs w:val="21"/>
                <w:lang w:eastAsia="zh-CN"/>
              </w:rPr>
              <w:t>批间批内差小，重复性好。</w:t>
            </w:r>
          </w:p>
          <w:p w:rsidR="00C542D2" w:rsidRPr="00D71A1F" w:rsidRDefault="00C542D2" w:rsidP="00D71A1F">
            <w:pPr>
              <w:pStyle w:val="TableParagraph"/>
              <w:spacing w:before="29" w:line="312" w:lineRule="exact"/>
              <w:ind w:left="103" w:right="98"/>
              <w:rPr>
                <w:rFonts w:ascii="方正兰亭黑简体" w:eastAsia="方正兰亭黑简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D2" w:rsidRPr="00D71A1F" w:rsidRDefault="001722DC" w:rsidP="00D71A1F">
            <w:pPr>
              <w:pStyle w:val="TableParagraph"/>
              <w:spacing w:line="277" w:lineRule="exact"/>
              <w:ind w:left="103"/>
              <w:rPr>
                <w:rFonts w:ascii="方正兰亭黑简体" w:eastAsia="方正兰亭黑简体" w:hAnsi="宋体" w:cs="宋体"/>
                <w:sz w:val="21"/>
                <w:szCs w:val="21"/>
              </w:rPr>
            </w:pPr>
            <w:r>
              <w:rPr>
                <w:rFonts w:ascii="方正兰亭黑简体" w:eastAsia="方正兰亭黑简体" w:hAnsi="宋体" w:cs="宋体" w:hint="eastAsia"/>
                <w:sz w:val="21"/>
                <w:szCs w:val="21"/>
              </w:rPr>
              <w:t>-</w:t>
            </w:r>
          </w:p>
        </w:tc>
      </w:tr>
    </w:tbl>
    <w:p w:rsidR="0011547D" w:rsidRPr="00D71A1F" w:rsidRDefault="0011547D" w:rsidP="00D71A1F">
      <w:pPr>
        <w:jc w:val="center"/>
        <w:rPr>
          <w:rFonts w:ascii="方正兰亭黑简体" w:eastAsia="方正兰亭黑简体"/>
          <w:sz w:val="21"/>
          <w:szCs w:val="21"/>
        </w:rPr>
      </w:pPr>
    </w:p>
    <w:sectPr w:rsidR="0011547D" w:rsidRPr="00D71A1F" w:rsidSect="00D71A1F">
      <w:type w:val="continuous"/>
      <w:pgSz w:w="16840" w:h="11910" w:orient="landscape"/>
      <w:pgMar w:top="320" w:right="1480" w:bottom="48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9C" w:rsidRDefault="007D129C" w:rsidP="00541C31">
      <w:r>
        <w:separator/>
      </w:r>
    </w:p>
  </w:endnote>
  <w:endnote w:type="continuationSeparator" w:id="1">
    <w:p w:rsidR="007D129C" w:rsidRDefault="007D129C" w:rsidP="0054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兰亭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9C" w:rsidRDefault="007D129C" w:rsidP="00541C31">
      <w:r>
        <w:separator/>
      </w:r>
    </w:p>
  </w:footnote>
  <w:footnote w:type="continuationSeparator" w:id="1">
    <w:p w:rsidR="007D129C" w:rsidRDefault="007D129C" w:rsidP="00541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542D2"/>
    <w:rsid w:val="000A4398"/>
    <w:rsid w:val="0011547D"/>
    <w:rsid w:val="001722DC"/>
    <w:rsid w:val="00255C89"/>
    <w:rsid w:val="00446DA4"/>
    <w:rsid w:val="00541C31"/>
    <w:rsid w:val="0060466A"/>
    <w:rsid w:val="00676058"/>
    <w:rsid w:val="0074162E"/>
    <w:rsid w:val="00774D3D"/>
    <w:rsid w:val="007D129C"/>
    <w:rsid w:val="008054F2"/>
    <w:rsid w:val="008B79C2"/>
    <w:rsid w:val="009544A7"/>
    <w:rsid w:val="009743DE"/>
    <w:rsid w:val="009C08F2"/>
    <w:rsid w:val="009D4A2C"/>
    <w:rsid w:val="00B11A86"/>
    <w:rsid w:val="00C172B9"/>
    <w:rsid w:val="00C542D2"/>
    <w:rsid w:val="00CA20F4"/>
    <w:rsid w:val="00CF6FF7"/>
    <w:rsid w:val="00D71A1F"/>
    <w:rsid w:val="00ED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547D"/>
    <w:pPr>
      <w:ind w:left="2198"/>
    </w:pPr>
    <w:rPr>
      <w:rFonts w:ascii="Microsoft JhengHei" w:eastAsia="Microsoft JhengHei" w:hAnsi="Microsoft JhengHei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11547D"/>
  </w:style>
  <w:style w:type="paragraph" w:customStyle="1" w:styleId="TableParagraph">
    <w:name w:val="Table Paragraph"/>
    <w:basedOn w:val="a"/>
    <w:uiPriority w:val="1"/>
    <w:qFormat/>
    <w:rsid w:val="0011547D"/>
  </w:style>
  <w:style w:type="paragraph" w:styleId="a5">
    <w:name w:val="header"/>
    <w:basedOn w:val="a"/>
    <w:link w:val="Char"/>
    <w:uiPriority w:val="99"/>
    <w:unhideWhenUsed/>
    <w:rsid w:val="00541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1C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1C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1C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340149/34014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subview/3853370/3853370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3853370/3853370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aike.baidu.com/subview/2005234/200523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subview/190492/19049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guoliang chen</dc:creator>
  <cp:lastModifiedBy>Windows 用户</cp:lastModifiedBy>
  <cp:revision>4</cp:revision>
  <cp:lastPrinted>2016-06-07T02:17:00Z</cp:lastPrinted>
  <dcterms:created xsi:type="dcterms:W3CDTF">2016-06-07T02:14:00Z</dcterms:created>
  <dcterms:modified xsi:type="dcterms:W3CDTF">2018-11-30T08:03:00Z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2016-06-07T00:00:00Z</vt:filetime>
  </property>
</Properties>
</file>